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‏21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לכבוד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וחברות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חוסנו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ושוויון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מגדרי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13" w:right="1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13" w:right="1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החתומות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מיסודה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בדאגה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המנשבות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המאיימות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ולעקרו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מסמכויותיו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מסתמנת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ההתגברות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שנפסלו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להתערב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בהחלטות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וועדות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לצמצם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עותרות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ועותרים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ובביצור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הדירקטוריונים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בצמתי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שקדיאל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עמותת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וחשובים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וסמכויותיו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שעוצבו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ומעמיקה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מאליהן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ושוויון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בייצוג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ובתעסוקה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נחיתות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ובגירושין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הבריאות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ואלימות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ועצמאית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תופעות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להתרחב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ולהעמיק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ההישגים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שנרשמו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ואליכם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דחופה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והשוויון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יוזמות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המסכנות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וקבוצות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ובאנו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לקנר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מרגליות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הרלינג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גלוזמן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בוני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לווינשטיין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ברתור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סחליה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עציון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עומר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זינגר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דגנית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קציר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אמסטר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קאהן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ורוניקה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ראובני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מרקס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אילני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גוטמן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כהן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מייסא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גראבלי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הולצמן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זלקינד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בלייר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גולדהבר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רגימוב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רוטלוי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בוטון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רום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ברוך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מרום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סבג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חזן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נוימן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ליטווק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וולפנר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סלומי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שעשוע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קמוס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נקדימון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קציר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רייכנברג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עוז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כפתורי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40" w:top="1440" w:left="1800" w:right="1800" w:header="425" w:footer="142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Davi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2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סעדיה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גאון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26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תל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אביב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יפו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טל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': 03-6123990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פקס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: 03-6123991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iwn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org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דוא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ל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: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legal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@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iwn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org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362200" cy="7232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2200" cy="723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